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E1DC8" w14:textId="77777777" w:rsidR="00333A44" w:rsidRDefault="00333A44" w:rsidP="00333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F84A0F" wp14:editId="6F3DF1FF">
            <wp:extent cx="418795" cy="478496"/>
            <wp:effectExtent l="0" t="0" r="635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45" cy="4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604A" w14:textId="77777777" w:rsidR="00333A44" w:rsidRDefault="00333A44" w:rsidP="00333A44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14:paraId="5D1FE088" w14:textId="77777777" w:rsidR="00333A44" w:rsidRDefault="00333A44" w:rsidP="00333A44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14:paraId="2AF59F98" w14:textId="33E1431C" w:rsidR="00333A44" w:rsidRDefault="00333A44" w:rsidP="00333A44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( 31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января   2024)</w:t>
      </w:r>
    </w:p>
    <w:p w14:paraId="5AE43205" w14:textId="7AE111F5" w:rsidR="00EB110F" w:rsidRPr="004C0F5F" w:rsidRDefault="00333A44" w:rsidP="004C0F5F">
      <w:pPr>
        <w:spacing w:after="0" w:line="240" w:lineRule="auto"/>
        <w:ind w:firstLine="567"/>
        <w:rPr>
          <w:rFonts w:ascii="Arial" w:hAnsi="Arial" w:cs="Arial"/>
          <w:b/>
          <w:i/>
          <w:color w:val="0033CC"/>
          <w:sz w:val="36"/>
          <w:szCs w:val="28"/>
        </w:rPr>
      </w:pPr>
      <w:r w:rsidRPr="004C0F5F">
        <w:rPr>
          <w:rFonts w:ascii="Arial" w:hAnsi="Arial" w:cs="Arial"/>
          <w:b/>
          <w:i/>
          <w:noProof/>
          <w:color w:val="0033CC"/>
          <w:sz w:val="28"/>
          <w:lang w:eastAsia="ru-RU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D0832D7" wp14:editId="69105016">
            <wp:simplePos x="0" y="0"/>
            <wp:positionH relativeFrom="column">
              <wp:posOffset>-110490</wp:posOffset>
            </wp:positionH>
            <wp:positionV relativeFrom="paragraph">
              <wp:posOffset>205740</wp:posOffset>
            </wp:positionV>
            <wp:extent cx="1460500" cy="1460500"/>
            <wp:effectExtent l="0" t="0" r="6350" b="6350"/>
            <wp:wrapSquare wrapText="bothSides"/>
            <wp:docPr id="4" name="Рисунок 4" descr="https://thumbs.dreamstime.com/b/de-zwangere-vrouw-stileerde-silhouet-het-pictogram-van-de-moederzorg-vector-7221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de-zwangere-vrouw-stileerde-silhouet-het-pictogram-van-de-moederzorg-vector-72214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F5F" w:rsidRPr="004C0F5F">
        <w:rPr>
          <w:rFonts w:ascii="Arial" w:hAnsi="Arial" w:cs="Arial"/>
          <w:b/>
          <w:i/>
          <w:color w:val="0033CC"/>
          <w:sz w:val="36"/>
          <w:szCs w:val="28"/>
        </w:rPr>
        <w:t>ЗНАЙ СВОИ ПРАВА</w:t>
      </w:r>
      <w:r w:rsidR="004C0F5F">
        <w:rPr>
          <w:rFonts w:ascii="Arial" w:hAnsi="Arial" w:cs="Arial"/>
          <w:b/>
          <w:i/>
          <w:color w:val="0033CC"/>
          <w:sz w:val="36"/>
          <w:szCs w:val="28"/>
        </w:rPr>
        <w:t>!</w:t>
      </w:r>
    </w:p>
    <w:p w14:paraId="60C99297" w14:textId="3A20E684" w:rsidR="00EB110F" w:rsidRPr="00333A44" w:rsidRDefault="00333A44" w:rsidP="0093004C">
      <w:pPr>
        <w:spacing w:after="0" w:line="240" w:lineRule="auto"/>
        <w:ind w:firstLine="567"/>
        <w:jc w:val="both"/>
        <w:rPr>
          <w:rFonts w:ascii="Arial" w:hAnsi="Arial" w:cs="Arial"/>
          <w:b/>
          <w:bCs/>
          <w:i/>
          <w:color w:val="0033CC"/>
          <w:sz w:val="28"/>
          <w:szCs w:val="28"/>
        </w:rPr>
      </w:pPr>
      <w:r w:rsidRPr="00333A44">
        <w:rPr>
          <w:rFonts w:ascii="Arial" w:hAnsi="Arial" w:cs="Arial"/>
          <w:i/>
          <w:noProof/>
          <w:color w:val="FF0000"/>
          <w:lang w:eastAsia="ru-RU"/>
          <w14:ligatures w14:val="standardContextual"/>
        </w:rPr>
        <mc:AlternateContent>
          <mc:Choice Requires="wps">
            <w:drawing>
              <wp:inline distT="0" distB="0" distL="0" distR="0" wp14:anchorId="33100564" wp14:editId="1D0B8F22">
                <wp:extent cx="304800" cy="304800"/>
                <wp:effectExtent l="0" t="0" r="0" b="0"/>
                <wp:docPr id="2" name="AutoShape 2" descr="https://top-fon.com/uploads/posts/2023-01/1674872692_top-fon-com-p-fon-dlya-prezentatsii-beremennost-1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3E2EF" id="AutoShape 2" o:spid="_x0000_s1026" alt="https://top-fon.com/uploads/posts/2023-01/1674872692_top-fon-com-p-fon-dlya-prezentatsii-beremennost-14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wxnG&#10;xvsCAAAs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="0093004C" w:rsidRPr="00333A44">
        <w:rPr>
          <w:rFonts w:ascii="Arial" w:hAnsi="Arial" w:cs="Arial"/>
          <w:b/>
          <w:bCs/>
          <w:i/>
          <w:color w:val="FF0000"/>
          <w:sz w:val="28"/>
          <w:szCs w:val="28"/>
        </w:rPr>
        <w:t>Вопрос:</w:t>
      </w:r>
      <w:r w:rsidR="0093004C" w:rsidRPr="00333A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3004C" w:rsidRPr="00333A44">
        <w:rPr>
          <w:rFonts w:ascii="Arial" w:hAnsi="Arial" w:cs="Arial"/>
          <w:i/>
          <w:color w:val="0033CC"/>
          <w:sz w:val="28"/>
          <w:szCs w:val="28"/>
        </w:rPr>
        <w:t xml:space="preserve">Обязан ли работодатель предоставить </w:t>
      </w:r>
      <w:r w:rsidR="00940569" w:rsidRPr="00333A44">
        <w:rPr>
          <w:rFonts w:ascii="Arial" w:hAnsi="Arial" w:cs="Arial"/>
          <w:i/>
          <w:color w:val="0033CC"/>
          <w:sz w:val="28"/>
          <w:szCs w:val="28"/>
        </w:rPr>
        <w:t xml:space="preserve">ежегодный оплачиваемый </w:t>
      </w:r>
      <w:r w:rsidR="0093004C" w:rsidRPr="00333A44">
        <w:rPr>
          <w:rFonts w:ascii="Arial" w:hAnsi="Arial" w:cs="Arial"/>
          <w:i/>
          <w:color w:val="0033CC"/>
          <w:sz w:val="28"/>
          <w:szCs w:val="28"/>
        </w:rPr>
        <w:t>отпуск по заявлению женщины перед её отпуском по беременности и родам, если она не проработала у работодателя 6 месяцев, и если да, то какой продолжительности?</w:t>
      </w:r>
    </w:p>
    <w:p w14:paraId="456D4D8B" w14:textId="77777777" w:rsidR="001938AD" w:rsidRDefault="001938AD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9DB93" w14:textId="773A3442" w:rsidR="0093004C" w:rsidRPr="00333A44" w:rsidRDefault="0093004C" w:rsidP="004548C7">
      <w:pPr>
        <w:spacing w:after="0" w:line="240" w:lineRule="auto"/>
        <w:ind w:firstLine="567"/>
        <w:jc w:val="both"/>
        <w:rPr>
          <w:rFonts w:ascii="Arial" w:hAnsi="Arial" w:cs="Arial"/>
          <w:b/>
          <w:bCs/>
          <w:i/>
          <w:color w:val="FF0000"/>
          <w:sz w:val="28"/>
          <w:szCs w:val="28"/>
        </w:rPr>
      </w:pPr>
      <w:r w:rsidRPr="00333A44">
        <w:rPr>
          <w:rFonts w:ascii="Arial" w:hAnsi="Arial" w:cs="Arial"/>
          <w:b/>
          <w:bCs/>
          <w:i/>
          <w:color w:val="FF0000"/>
          <w:sz w:val="28"/>
          <w:szCs w:val="28"/>
        </w:rPr>
        <w:t xml:space="preserve">Ответ: </w:t>
      </w:r>
    </w:p>
    <w:p w14:paraId="5A6DBB4F" w14:textId="01AEC504" w:rsidR="00DD07CB" w:rsidRPr="004C0F5F" w:rsidRDefault="0093004C" w:rsidP="00DD07CB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  <w:sz w:val="28"/>
          <w:szCs w:val="28"/>
        </w:rPr>
      </w:pPr>
      <w:r w:rsidRPr="004C0F5F">
        <w:rPr>
          <w:rFonts w:ascii="Arial" w:hAnsi="Arial" w:cs="Arial"/>
          <w:i/>
          <w:color w:val="0033CC"/>
          <w:sz w:val="28"/>
          <w:szCs w:val="28"/>
        </w:rPr>
        <w:t>В соответствии со ст. 122 Трудового кодекса РФ право на использование отпуска за первый год работы возникает у работника по истечении 6 месяцев его непрерывной работы у данного работодателя. Однако эта же статья устанавливает правило: до истечения указанных 6 месяцев оплачиваемый отпуск должен быть предоставлен по заявлению женщины перед отпуском по беременности и родам или непосредственно после него.</w:t>
      </w:r>
      <w:r w:rsidR="00DD07CB" w:rsidRPr="004C0F5F">
        <w:rPr>
          <w:rFonts w:ascii="Arial" w:hAnsi="Arial" w:cs="Arial"/>
          <w:i/>
          <w:color w:val="0033CC"/>
          <w:sz w:val="28"/>
          <w:szCs w:val="28"/>
        </w:rPr>
        <w:t xml:space="preserve"> </w:t>
      </w:r>
      <w:r w:rsidRPr="004C0F5F">
        <w:rPr>
          <w:rFonts w:ascii="Arial" w:hAnsi="Arial" w:cs="Arial"/>
          <w:i/>
          <w:color w:val="0033CC"/>
          <w:sz w:val="28"/>
          <w:szCs w:val="28"/>
        </w:rPr>
        <w:t xml:space="preserve">Кроме того, статья 260 Трудового кодекса РФ </w:t>
      </w:r>
      <w:r w:rsidR="00DD07CB" w:rsidRPr="004C0F5F">
        <w:rPr>
          <w:rFonts w:ascii="Arial" w:hAnsi="Arial" w:cs="Arial"/>
          <w:i/>
          <w:color w:val="0033CC"/>
          <w:sz w:val="28"/>
          <w:szCs w:val="28"/>
        </w:rPr>
        <w:t>уточняя эту норму, также устанавливает, что женщина вправе использовать отпуск также по окончании отпуска по уходу за ребенком по ее желанию независимо от стажа работы у данного работодателя.</w:t>
      </w:r>
    </w:p>
    <w:p w14:paraId="1E67BED6" w14:textId="04EE1DC9" w:rsidR="0093004C" w:rsidRPr="004C0F5F" w:rsidRDefault="00DD07CB" w:rsidP="0093004C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  <w:sz w:val="28"/>
          <w:szCs w:val="28"/>
        </w:rPr>
      </w:pPr>
      <w:r w:rsidRPr="004C0F5F">
        <w:rPr>
          <w:rFonts w:ascii="Arial" w:hAnsi="Arial" w:cs="Arial"/>
          <w:i/>
          <w:color w:val="0033CC"/>
          <w:sz w:val="28"/>
          <w:szCs w:val="28"/>
        </w:rPr>
        <w:t>Таким образом, женщина, не отработавшая 6 месяцев у работодателя, имеет право на предоставление ей, по её заявлению, ежегодного оплачиваемого отпуска</w:t>
      </w:r>
      <w:r w:rsidRPr="004C0F5F">
        <w:rPr>
          <w:rFonts w:ascii="Arial" w:hAnsi="Arial" w:cs="Arial"/>
          <w:i/>
          <w:color w:val="0033CC"/>
        </w:rPr>
        <w:t xml:space="preserve"> </w:t>
      </w:r>
      <w:r w:rsidRPr="004C0F5F">
        <w:rPr>
          <w:rFonts w:ascii="Arial" w:hAnsi="Arial" w:cs="Arial"/>
          <w:i/>
          <w:color w:val="0033CC"/>
          <w:sz w:val="28"/>
          <w:szCs w:val="28"/>
        </w:rPr>
        <w:t>перед отпуском по беременности и родам или непосредственно после него либо по окончании отпуска по уходу за ребенком.</w:t>
      </w:r>
    </w:p>
    <w:p w14:paraId="7CDFF5CC" w14:textId="28C8DB75" w:rsidR="00DD07CB" w:rsidRPr="004C0F5F" w:rsidRDefault="00DD07CB" w:rsidP="00DD07CB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  <w:sz w:val="28"/>
          <w:szCs w:val="28"/>
        </w:rPr>
      </w:pPr>
      <w:r w:rsidRPr="004C0F5F">
        <w:rPr>
          <w:rFonts w:ascii="Arial" w:hAnsi="Arial" w:cs="Arial"/>
          <w:i/>
          <w:color w:val="0033CC"/>
          <w:sz w:val="28"/>
          <w:szCs w:val="28"/>
        </w:rPr>
        <w:t>В данном случае дату ухода в ежегодный оплачиваемый отпуск работница определяет самостоятельно. Для предоставления ежегодного оплачиваемого отпуска женщина должна подать заявление, приложив к нему соответствующий документ, подтверждающий беременность, а работодатель обязан такой отпуск предоставить.</w:t>
      </w:r>
    </w:p>
    <w:p w14:paraId="43F429F9" w14:textId="739C6530" w:rsidR="00DD07CB" w:rsidRPr="004C0F5F" w:rsidRDefault="00DD07CB" w:rsidP="00DD07CB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  <w:sz w:val="28"/>
          <w:szCs w:val="28"/>
        </w:rPr>
      </w:pPr>
      <w:r w:rsidRPr="004C0F5F">
        <w:rPr>
          <w:rFonts w:ascii="Arial" w:hAnsi="Arial" w:cs="Arial"/>
          <w:i/>
          <w:color w:val="0033CC"/>
          <w:sz w:val="28"/>
          <w:szCs w:val="28"/>
        </w:rPr>
        <w:t xml:space="preserve">По общему правилу, </w:t>
      </w:r>
      <w:r w:rsidR="00940569" w:rsidRPr="004C0F5F">
        <w:rPr>
          <w:rFonts w:ascii="Arial" w:hAnsi="Arial" w:cs="Arial"/>
          <w:i/>
          <w:color w:val="0033CC"/>
          <w:sz w:val="28"/>
          <w:szCs w:val="28"/>
        </w:rPr>
        <w:t xml:space="preserve">работница, независимо от проработанного времени, имеет право на основной </w:t>
      </w:r>
      <w:r w:rsidRPr="004C0F5F">
        <w:rPr>
          <w:rFonts w:ascii="Arial" w:hAnsi="Arial" w:cs="Arial"/>
          <w:i/>
          <w:color w:val="0033CC"/>
          <w:sz w:val="28"/>
          <w:szCs w:val="28"/>
        </w:rPr>
        <w:t>ежегодный оплачиваемый отпуск полной продолжительности</w:t>
      </w:r>
      <w:r w:rsidR="00940569" w:rsidRPr="004C0F5F">
        <w:rPr>
          <w:rFonts w:ascii="Arial" w:hAnsi="Arial" w:cs="Arial"/>
          <w:i/>
          <w:color w:val="0033CC"/>
          <w:sz w:val="28"/>
          <w:szCs w:val="28"/>
        </w:rPr>
        <w:t>, так как</w:t>
      </w:r>
      <w:r w:rsidRPr="004C0F5F">
        <w:rPr>
          <w:rFonts w:ascii="Arial" w:hAnsi="Arial" w:cs="Arial"/>
          <w:i/>
          <w:color w:val="0033CC"/>
          <w:sz w:val="28"/>
          <w:szCs w:val="28"/>
        </w:rPr>
        <w:t xml:space="preserve"> </w:t>
      </w:r>
      <w:r w:rsidR="00940569" w:rsidRPr="004C0F5F">
        <w:rPr>
          <w:rFonts w:ascii="Arial" w:hAnsi="Arial" w:cs="Arial"/>
          <w:i/>
          <w:color w:val="0033CC"/>
          <w:sz w:val="28"/>
          <w:szCs w:val="28"/>
        </w:rPr>
        <w:t>п</w:t>
      </w:r>
      <w:r w:rsidRPr="004C0F5F">
        <w:rPr>
          <w:rFonts w:ascii="Arial" w:hAnsi="Arial" w:cs="Arial"/>
          <w:i/>
          <w:color w:val="0033CC"/>
          <w:sz w:val="28"/>
          <w:szCs w:val="28"/>
        </w:rPr>
        <w:t xml:space="preserve">редоставление </w:t>
      </w:r>
      <w:r w:rsidR="00940569" w:rsidRPr="004C0F5F">
        <w:rPr>
          <w:rFonts w:ascii="Arial" w:hAnsi="Arial" w:cs="Arial"/>
          <w:i/>
          <w:color w:val="0033CC"/>
          <w:sz w:val="28"/>
          <w:szCs w:val="28"/>
        </w:rPr>
        <w:t>такого отпуска</w:t>
      </w:r>
      <w:r w:rsidRPr="004C0F5F">
        <w:rPr>
          <w:rFonts w:ascii="Arial" w:hAnsi="Arial" w:cs="Arial"/>
          <w:i/>
          <w:color w:val="0033CC"/>
          <w:sz w:val="28"/>
          <w:szCs w:val="28"/>
        </w:rPr>
        <w:t xml:space="preserve"> пропорционально отработанному времени не предусмотрено законодательством.</w:t>
      </w:r>
    </w:p>
    <w:p w14:paraId="6FBC1AB2" w14:textId="3DF7D94F" w:rsidR="00940569" w:rsidRPr="004C0F5F" w:rsidRDefault="00940569" w:rsidP="00940569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  <w:sz w:val="28"/>
          <w:szCs w:val="28"/>
        </w:rPr>
      </w:pPr>
      <w:r w:rsidRPr="004C0F5F">
        <w:rPr>
          <w:rFonts w:ascii="Arial" w:hAnsi="Arial" w:cs="Arial"/>
          <w:i/>
          <w:color w:val="0033CC"/>
          <w:sz w:val="28"/>
          <w:szCs w:val="28"/>
        </w:rPr>
        <w:t>Расчет отпускных производится в общем порядке исходя из исчисленной средней заработной платы в соответствии со ст. 139 Трудового кодекса РФ и Постановлением Правительства РФ от 24.12.2007 г. № 922 (ред. от 10.12.2016) «Об особенностях порядка исчисления средней заработной платы».</w:t>
      </w:r>
    </w:p>
    <w:p w14:paraId="735415D3" w14:textId="77777777" w:rsidR="004C0F5F" w:rsidRDefault="004C0F5F" w:rsidP="004C0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A0DF9D" wp14:editId="66AF873D">
            <wp:extent cx="418795" cy="478496"/>
            <wp:effectExtent l="0" t="0" r="635" b="0"/>
            <wp:docPr id="5" name="Рисунок 5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45" cy="4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63762" w14:textId="77777777" w:rsidR="004C0F5F" w:rsidRDefault="004C0F5F" w:rsidP="004C0F5F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lastRenderedPageBreak/>
        <w:t>ПРОФСОЮЗ РАБОТНИКОВ НАРОДНОГО ОБРАЗОВАНИЯ И НАУКИ РФ</w:t>
      </w:r>
    </w:p>
    <w:p w14:paraId="6417B4FE" w14:textId="77777777" w:rsidR="004C0F5F" w:rsidRDefault="004C0F5F" w:rsidP="004C0F5F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14:paraId="7C8760FE" w14:textId="77777777" w:rsidR="004C0F5F" w:rsidRDefault="004C0F5F" w:rsidP="004C0F5F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( 31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января   2024)</w:t>
      </w:r>
    </w:p>
    <w:p w14:paraId="5C3E599A" w14:textId="1D003C5B" w:rsidR="00940569" w:rsidRPr="004C0F5F" w:rsidRDefault="00F52B54" w:rsidP="004C0F5F">
      <w:pPr>
        <w:spacing w:after="0" w:line="240" w:lineRule="auto"/>
        <w:ind w:firstLine="567"/>
        <w:jc w:val="center"/>
        <w:rPr>
          <w:rFonts w:ascii="Arial" w:hAnsi="Arial" w:cs="Arial"/>
          <w:b/>
          <w:i/>
          <w:color w:val="0033CC"/>
          <w:sz w:val="32"/>
          <w:szCs w:val="28"/>
        </w:rPr>
      </w:pP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EA1B29F" wp14:editId="73800FE3">
            <wp:simplePos x="0" y="0"/>
            <wp:positionH relativeFrom="column">
              <wp:posOffset>-104140</wp:posOffset>
            </wp:positionH>
            <wp:positionV relativeFrom="paragraph">
              <wp:posOffset>455295</wp:posOffset>
            </wp:positionV>
            <wp:extent cx="2190750" cy="2016760"/>
            <wp:effectExtent l="0" t="0" r="0" b="2540"/>
            <wp:wrapSquare wrapText="bothSides"/>
            <wp:docPr id="6" name="Рисунок 6" descr="C:\Users\Галина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F5F" w:rsidRPr="004C0F5F">
        <w:rPr>
          <w:rFonts w:ascii="Arial" w:hAnsi="Arial" w:cs="Arial"/>
          <w:b/>
          <w:i/>
          <w:color w:val="0033CC"/>
          <w:sz w:val="32"/>
          <w:szCs w:val="28"/>
        </w:rPr>
        <w:t>ОРГАНИЗАЦИЯ РАБОТЫ СПЕЦИАЛИСТА ПО ОХРАНЕ ТРУДА В ОУ</w:t>
      </w:r>
    </w:p>
    <w:p w14:paraId="0C304C80" w14:textId="77777777" w:rsidR="00EA7C9D" w:rsidRDefault="00EA7C9D" w:rsidP="00EA7C9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EE0419D" w14:textId="14946C02" w:rsidR="004C0F5F" w:rsidRPr="00F52B54" w:rsidRDefault="004C0F5F" w:rsidP="00F52B54">
      <w:pPr>
        <w:pStyle w:val="a5"/>
      </w:pPr>
      <w:r>
        <w:rPr>
          <w:rFonts w:ascii="Arial" w:hAnsi="Arial" w:cs="Arial"/>
          <w:i/>
          <w:color w:val="0033CC"/>
          <w:sz w:val="26"/>
          <w:szCs w:val="26"/>
        </w:rPr>
        <w:t xml:space="preserve">       </w:t>
      </w:r>
      <w:r w:rsidRPr="00F52B54">
        <w:rPr>
          <w:rFonts w:ascii="Arial" w:hAnsi="Arial" w:cs="Arial"/>
          <w:i/>
          <w:color w:val="0033CC"/>
        </w:rPr>
        <w:t xml:space="preserve">В соответствии со статьей 223 Трудового Кодекса Российской Федерации (далее – ТК РФ) </w:t>
      </w:r>
      <w:r w:rsidRPr="00F52B54">
        <w:rPr>
          <w:rFonts w:ascii="Arial" w:hAnsi="Arial" w:cs="Arial"/>
          <w:i/>
          <w:color w:val="FF0000"/>
        </w:rPr>
        <w:t xml:space="preserve">в целях обеспечения </w:t>
      </w:r>
      <w:r w:rsidRPr="00F52B54">
        <w:rPr>
          <w:rFonts w:ascii="Arial" w:hAnsi="Arial" w:cs="Arial"/>
          <w:i/>
          <w:color w:val="0033CC"/>
        </w:rPr>
        <w:t xml:space="preserve">соблюдения требований охраны труда, осуществления </w:t>
      </w:r>
      <w:r w:rsidRPr="00F52B54">
        <w:rPr>
          <w:rFonts w:ascii="Arial" w:hAnsi="Arial" w:cs="Arial"/>
          <w:i/>
          <w:color w:val="FF0000"/>
        </w:rPr>
        <w:t>контроля</w:t>
      </w:r>
      <w:r w:rsidRPr="00F52B54">
        <w:rPr>
          <w:rFonts w:ascii="Arial" w:hAnsi="Arial" w:cs="Arial"/>
          <w:i/>
          <w:color w:val="0033CC"/>
        </w:rPr>
        <w:t xml:space="preserve"> за их выполнением у каждого работодателя, осуществляющего производственную деятельность, численность работников которого </w:t>
      </w:r>
      <w:r w:rsidRPr="00F52B54">
        <w:rPr>
          <w:rFonts w:ascii="Arial" w:hAnsi="Arial" w:cs="Arial"/>
          <w:i/>
          <w:color w:val="FF0000"/>
        </w:rPr>
        <w:t>превышает 50 человек</w:t>
      </w:r>
      <w:r w:rsidRPr="00F52B54">
        <w:rPr>
          <w:rFonts w:ascii="Arial" w:hAnsi="Arial" w:cs="Arial"/>
          <w:i/>
          <w:color w:val="0033CC"/>
        </w:rPr>
        <w:t xml:space="preserve">, создается служба охраны труда или </w:t>
      </w:r>
      <w:r w:rsidRPr="00F52B54">
        <w:rPr>
          <w:rFonts w:ascii="Arial" w:hAnsi="Arial" w:cs="Arial"/>
          <w:i/>
          <w:color w:val="FF0000"/>
        </w:rPr>
        <w:t>вводится должность специалиста по охране труда.</w:t>
      </w:r>
    </w:p>
    <w:p w14:paraId="2C422477" w14:textId="1A6CBA02" w:rsidR="004C0F5F" w:rsidRPr="00F52B54" w:rsidRDefault="004C0F5F" w:rsidP="004C0F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         Должностные обязанности и требования к квалификации специалиста по охране труда определены </w:t>
      </w:r>
      <w:r w:rsidRPr="00F52B54">
        <w:rPr>
          <w:rFonts w:ascii="Arial" w:hAnsi="Arial" w:cs="Arial"/>
          <w:i/>
          <w:color w:val="FF0000"/>
          <w:sz w:val="24"/>
          <w:szCs w:val="24"/>
        </w:rPr>
        <w:t xml:space="preserve">Приказом </w:t>
      </w:r>
      <w:proofErr w:type="spellStart"/>
      <w:r w:rsidRPr="00F52B54">
        <w:rPr>
          <w:rFonts w:ascii="Arial" w:hAnsi="Arial" w:cs="Arial"/>
          <w:i/>
          <w:color w:val="FF0000"/>
          <w:sz w:val="24"/>
          <w:szCs w:val="24"/>
        </w:rPr>
        <w:t>Минздравсоцразвития</w:t>
      </w:r>
      <w:proofErr w:type="spellEnd"/>
      <w:r w:rsidRPr="00F52B54">
        <w:rPr>
          <w:rFonts w:ascii="Arial" w:hAnsi="Arial" w:cs="Arial"/>
          <w:i/>
          <w:color w:val="FF0000"/>
          <w:sz w:val="24"/>
          <w:szCs w:val="24"/>
        </w:rPr>
        <w:t xml:space="preserve"> России от 17.05.2012 № 559н </w:t>
      </w: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специалистов, осуществляющих работы в области охраны труда». </w:t>
      </w:r>
      <w:r w:rsidRPr="00F52B54">
        <w:rPr>
          <w:rFonts w:ascii="Arial" w:hAnsi="Arial" w:cs="Arial"/>
          <w:i/>
          <w:color w:val="FF0000"/>
          <w:sz w:val="24"/>
          <w:szCs w:val="24"/>
        </w:rPr>
        <w:t xml:space="preserve">Он </w:t>
      </w: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участвует в организации и координации работ по охране труда в организации, в разработке и контроле за функционированием системы управления охраной труда в соответствии с государственными нормативными требованиями охраны труда, с целями и задачами организации, рекомендациями межгосударственных и национальных стандартов в сфере безопасности и охраны труда, в определении и корректировке направления развития системы управления профессиональными рисками в организации на основе мониторинга изменений законодательства и передового опыта в области охраны труда, а также исходя из модернизации технического оснащения, целей и задач организации и т.д. – то есть </w:t>
      </w:r>
      <w:r w:rsidRPr="00F52B54">
        <w:rPr>
          <w:rFonts w:ascii="Arial" w:hAnsi="Arial" w:cs="Arial"/>
          <w:i/>
          <w:color w:val="FF0000"/>
          <w:sz w:val="24"/>
          <w:szCs w:val="24"/>
        </w:rPr>
        <w:t>занимается вопросами обеспечения охраны труда в организации.</w:t>
      </w:r>
    </w:p>
    <w:p w14:paraId="6FE0072E" w14:textId="48CA4CB9" w:rsidR="004C0F5F" w:rsidRPr="00F52B54" w:rsidRDefault="00F52B54" w:rsidP="00F52B54">
      <w:pPr>
        <w:spacing w:after="0" w:line="240" w:lineRule="auto"/>
        <w:jc w:val="both"/>
        <w:rPr>
          <w:rFonts w:ascii="Arial" w:hAnsi="Arial" w:cs="Arial"/>
          <w:i/>
          <w:color w:val="0033CC"/>
          <w:sz w:val="24"/>
          <w:szCs w:val="24"/>
        </w:rPr>
      </w:pPr>
      <w:r>
        <w:rPr>
          <w:rFonts w:ascii="Arial" w:hAnsi="Arial" w:cs="Arial"/>
          <w:i/>
          <w:color w:val="0033CC"/>
          <w:sz w:val="24"/>
          <w:szCs w:val="24"/>
        </w:rPr>
        <w:t xml:space="preserve">       </w:t>
      </w:r>
      <w:r w:rsidR="004C0F5F" w:rsidRPr="00F52B54">
        <w:rPr>
          <w:rFonts w:ascii="Arial" w:hAnsi="Arial" w:cs="Arial"/>
          <w:i/>
          <w:color w:val="0033CC"/>
          <w:sz w:val="24"/>
          <w:szCs w:val="24"/>
        </w:rPr>
        <w:t xml:space="preserve">В соответствии со статьей 209 ТК РФ </w:t>
      </w:r>
      <w:r w:rsidR="004C0F5F" w:rsidRPr="00F52B54">
        <w:rPr>
          <w:rFonts w:ascii="Arial" w:hAnsi="Arial" w:cs="Arial"/>
          <w:i/>
          <w:color w:val="FF0000"/>
          <w:sz w:val="24"/>
          <w:szCs w:val="24"/>
        </w:rPr>
        <w:t xml:space="preserve">охрана труда </w:t>
      </w:r>
      <w:r w:rsidR="004C0F5F" w:rsidRPr="00F52B54">
        <w:rPr>
          <w:rFonts w:ascii="Arial" w:hAnsi="Arial" w:cs="Arial"/>
          <w:i/>
          <w:color w:val="0033CC"/>
          <w:sz w:val="24"/>
          <w:szCs w:val="24"/>
        </w:rPr>
        <w:t xml:space="preserve">– </w:t>
      </w:r>
      <w:r w:rsidR="004C0F5F" w:rsidRPr="00F52B54">
        <w:rPr>
          <w:rFonts w:ascii="Arial" w:hAnsi="Arial" w:cs="Arial"/>
          <w:i/>
          <w:color w:val="FF0000"/>
          <w:sz w:val="24"/>
          <w:szCs w:val="24"/>
        </w:rPr>
        <w:t xml:space="preserve">система сохранения жизни и здоровья работников в процессе трудовой деятельности, </w:t>
      </w:r>
      <w:r w:rsidR="004C0F5F" w:rsidRPr="00F52B54">
        <w:rPr>
          <w:rFonts w:ascii="Arial" w:hAnsi="Arial" w:cs="Arial"/>
          <w:i/>
          <w:color w:val="0033CC"/>
          <w:sz w:val="24"/>
          <w:szCs w:val="24"/>
        </w:rPr>
        <w:t>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В их число не входит проведение мероприятий по пожарной безопасности, комплексной безопасности, безопасности обучающихся.</w:t>
      </w:r>
    </w:p>
    <w:p w14:paraId="00805D30" w14:textId="77777777" w:rsidR="004C0F5F" w:rsidRPr="00F52B54" w:rsidRDefault="004C0F5F" w:rsidP="004C0F5F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  <w:sz w:val="24"/>
          <w:szCs w:val="24"/>
        </w:rPr>
      </w:pPr>
      <w:r w:rsidRPr="00F52B54">
        <w:rPr>
          <w:rFonts w:ascii="Arial" w:hAnsi="Arial" w:cs="Arial"/>
          <w:i/>
          <w:color w:val="FF0000"/>
          <w:sz w:val="24"/>
          <w:szCs w:val="24"/>
        </w:rPr>
        <w:t>Возложить</w:t>
      </w: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 на специалиста по охране труда </w:t>
      </w:r>
      <w:r w:rsidRPr="00F52B54">
        <w:rPr>
          <w:rFonts w:ascii="Arial" w:hAnsi="Arial" w:cs="Arial"/>
          <w:i/>
          <w:color w:val="FF0000"/>
          <w:sz w:val="24"/>
          <w:szCs w:val="24"/>
        </w:rPr>
        <w:t xml:space="preserve">дополнительные обязанности </w:t>
      </w: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(пожарная безопасность, комплексная безопасность, безопасность обучающихся, другие дополнительные обязанности и функции) </w:t>
      </w:r>
      <w:r w:rsidRPr="00F52B54">
        <w:rPr>
          <w:rFonts w:ascii="Arial" w:hAnsi="Arial" w:cs="Arial"/>
          <w:i/>
          <w:color w:val="FF0000"/>
          <w:sz w:val="24"/>
          <w:szCs w:val="24"/>
        </w:rPr>
        <w:t xml:space="preserve">можно только с его письменного согласия (статья 60.2 ТК РФ) и за дополнительную плату (статья 151 ТК РФ), </w:t>
      </w: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размер которой определяется письменным соглашением сторон (через </w:t>
      </w:r>
      <w:r w:rsidRPr="00F52B54">
        <w:rPr>
          <w:rFonts w:ascii="Arial" w:hAnsi="Arial" w:cs="Arial"/>
          <w:i/>
          <w:color w:val="FF0000"/>
          <w:sz w:val="24"/>
          <w:szCs w:val="24"/>
        </w:rPr>
        <w:t>заключение дополнительного соглашения к трудовому договору</w:t>
      </w:r>
      <w:r w:rsidRPr="00F52B54">
        <w:rPr>
          <w:rFonts w:ascii="Arial" w:hAnsi="Arial" w:cs="Arial"/>
          <w:i/>
          <w:color w:val="0033CC"/>
          <w:sz w:val="24"/>
          <w:szCs w:val="24"/>
        </w:rPr>
        <w:t>), в котором должен быть указан срок, в течение которого работник будет выполнять дополнительную работу, содержание и объем этой работы, а также размер оплаты за ее выполнение.</w:t>
      </w:r>
    </w:p>
    <w:p w14:paraId="5783A1A0" w14:textId="77777777" w:rsidR="004C0F5F" w:rsidRPr="00F52B54" w:rsidRDefault="004C0F5F" w:rsidP="004C0F5F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Если работник </w:t>
      </w:r>
      <w:r w:rsidRPr="00F52B54">
        <w:rPr>
          <w:rFonts w:ascii="Arial" w:hAnsi="Arial" w:cs="Arial"/>
          <w:i/>
          <w:color w:val="FF0000"/>
          <w:sz w:val="24"/>
          <w:szCs w:val="24"/>
        </w:rPr>
        <w:t xml:space="preserve">не согласен </w:t>
      </w: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на дополнительную работу, то работодатель </w:t>
      </w:r>
      <w:r w:rsidRPr="00F52B54">
        <w:rPr>
          <w:rFonts w:ascii="Arial" w:hAnsi="Arial" w:cs="Arial"/>
          <w:i/>
          <w:color w:val="FF0000"/>
          <w:sz w:val="24"/>
          <w:szCs w:val="24"/>
        </w:rPr>
        <w:t>не вправе требовать этого от работника.</w:t>
      </w:r>
    </w:p>
    <w:p w14:paraId="407C78B6" w14:textId="43F51996" w:rsidR="004548C7" w:rsidRDefault="004C0F5F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B54">
        <w:rPr>
          <w:rFonts w:ascii="Arial" w:hAnsi="Arial" w:cs="Arial"/>
          <w:i/>
          <w:color w:val="0033CC"/>
          <w:sz w:val="24"/>
          <w:szCs w:val="24"/>
        </w:rPr>
        <w:t xml:space="preserve">Работник имеет </w:t>
      </w:r>
      <w:r w:rsidRPr="00F52B54">
        <w:rPr>
          <w:rFonts w:ascii="Arial" w:hAnsi="Arial" w:cs="Arial"/>
          <w:i/>
          <w:color w:val="FF0000"/>
          <w:sz w:val="24"/>
          <w:szCs w:val="24"/>
        </w:rPr>
        <w:t>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позднее чем за три рабочих дня.</w:t>
      </w:r>
      <w:bookmarkStart w:id="0" w:name="_GoBack"/>
      <w:bookmarkEnd w:id="0"/>
    </w:p>
    <w:sectPr w:rsidR="004548C7" w:rsidSect="00F52B54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12"/>
    <w:rsid w:val="00047A12"/>
    <w:rsid w:val="000870F3"/>
    <w:rsid w:val="00145F4A"/>
    <w:rsid w:val="00192FA3"/>
    <w:rsid w:val="001938AD"/>
    <w:rsid w:val="002043DA"/>
    <w:rsid w:val="002F7217"/>
    <w:rsid w:val="00333A44"/>
    <w:rsid w:val="003D0959"/>
    <w:rsid w:val="003E19EC"/>
    <w:rsid w:val="00440D57"/>
    <w:rsid w:val="004548C7"/>
    <w:rsid w:val="00470D90"/>
    <w:rsid w:val="004B40F5"/>
    <w:rsid w:val="004B6970"/>
    <w:rsid w:val="004C0F5F"/>
    <w:rsid w:val="004D344C"/>
    <w:rsid w:val="005C4CB2"/>
    <w:rsid w:val="00737115"/>
    <w:rsid w:val="0079491F"/>
    <w:rsid w:val="007D5806"/>
    <w:rsid w:val="00813E0C"/>
    <w:rsid w:val="0093004C"/>
    <w:rsid w:val="00940569"/>
    <w:rsid w:val="00984189"/>
    <w:rsid w:val="009B0783"/>
    <w:rsid w:val="00AE06B8"/>
    <w:rsid w:val="00B77196"/>
    <w:rsid w:val="00C20BF0"/>
    <w:rsid w:val="00C46FFC"/>
    <w:rsid w:val="00CE01A7"/>
    <w:rsid w:val="00D84737"/>
    <w:rsid w:val="00DD07CB"/>
    <w:rsid w:val="00DF68C9"/>
    <w:rsid w:val="00E07471"/>
    <w:rsid w:val="00E213FE"/>
    <w:rsid w:val="00EA7C9D"/>
    <w:rsid w:val="00EB110F"/>
    <w:rsid w:val="00F1180D"/>
    <w:rsid w:val="00F52B54"/>
    <w:rsid w:val="00F9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BDF"/>
  <w15:docId w15:val="{8F5AC385-6EFF-4288-8FA9-026F3686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44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A44"/>
    <w:rPr>
      <w:rFonts w:ascii="Tahoma" w:hAnsi="Tahoma" w:cs="Tahoma"/>
      <w:kern w:val="0"/>
      <w:sz w:val="16"/>
      <w:szCs w:val="16"/>
      <w14:ligatures w14:val="none"/>
    </w:rPr>
  </w:style>
  <w:style w:type="paragraph" w:styleId="a5">
    <w:name w:val="Normal (Web)"/>
    <w:basedOn w:val="a"/>
    <w:uiPriority w:val="99"/>
    <w:unhideWhenUsed/>
    <w:rsid w:val="004C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Учетная запись Майкрософт</cp:lastModifiedBy>
  <cp:revision>7</cp:revision>
  <dcterms:created xsi:type="dcterms:W3CDTF">2024-01-29T11:05:00Z</dcterms:created>
  <dcterms:modified xsi:type="dcterms:W3CDTF">2024-02-02T05:03:00Z</dcterms:modified>
</cp:coreProperties>
</file>